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4"/>
        <w:jc w:val="right"/>
        <w:rPr>
          <w:sz w:val="28"/>
          <w:szCs w:val="28"/>
          <w:lang w:val="en-US"/>
        </w:rPr>
      </w:pPr>
    </w:p>
    <w:p>
      <w:pPr>
        <w:pStyle w:val="14"/>
        <w:ind w:left="8496" w:firstLine="708"/>
        <w:rPr>
          <w:sz w:val="24"/>
          <w:szCs w:val="24"/>
        </w:rPr>
      </w:pPr>
      <w:r>
        <w:rPr>
          <w:sz w:val="24"/>
          <w:szCs w:val="24"/>
        </w:rPr>
        <w:t xml:space="preserve">Приложение к приказу </w:t>
      </w:r>
    </w:p>
    <w:p>
      <w:pPr>
        <w:pStyle w:val="14"/>
        <w:ind w:left="8496" w:firstLine="708"/>
        <w:rPr>
          <w:sz w:val="24"/>
          <w:szCs w:val="24"/>
        </w:rPr>
      </w:pPr>
      <w:r>
        <w:rPr>
          <w:sz w:val="24"/>
          <w:szCs w:val="24"/>
        </w:rPr>
        <w:t>от</w:t>
      </w:r>
      <w:r>
        <w:rPr>
          <w:sz w:val="24"/>
          <w:szCs w:val="24"/>
          <w:lang w:val="kk-KZ"/>
        </w:rPr>
        <w:t xml:space="preserve"> «02» марта </w:t>
      </w:r>
      <w:r>
        <w:rPr>
          <w:sz w:val="24"/>
          <w:szCs w:val="24"/>
        </w:rPr>
        <w:t xml:space="preserve"> 2022 года №_63-п</w:t>
      </w:r>
    </w:p>
    <w:p>
      <w:pPr>
        <w:pStyle w:val="14"/>
        <w:jc w:val="right"/>
        <w:rPr>
          <w:sz w:val="28"/>
          <w:szCs w:val="28"/>
        </w:rPr>
      </w:pPr>
    </w:p>
    <w:p>
      <w:pPr>
        <w:tabs>
          <w:tab w:val="center" w:pos="7284"/>
          <w:tab w:val="right" w:pos="14569"/>
        </w:tabs>
        <w:rPr>
          <w:b/>
          <w:bCs/>
          <w:sz w:val="24"/>
          <w:szCs w:val="24"/>
        </w:rPr>
      </w:pPr>
      <w:r>
        <w:rPr>
          <w:bCs/>
          <w:sz w:val="28"/>
          <w:szCs w:val="28"/>
        </w:rPr>
        <w:tab/>
      </w:r>
      <w:r>
        <w:rPr>
          <w:b/>
          <w:bCs/>
          <w:sz w:val="24"/>
          <w:szCs w:val="24"/>
        </w:rPr>
        <w:t>План</w:t>
      </w:r>
    </w:p>
    <w:p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мероприятий  КГП на ПХВ «Восточно-Казахстанский областной центр крови»</w:t>
      </w:r>
    </w:p>
    <w:p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по «Противодействию коррупции» на 2022 год                                                           </w:t>
      </w:r>
    </w:p>
    <w:p>
      <w:pPr>
        <w:jc w:val="center"/>
        <w:rPr>
          <w:b/>
          <w:bCs/>
          <w:sz w:val="24"/>
          <w:szCs w:val="24"/>
        </w:rPr>
      </w:pPr>
    </w:p>
    <w:tbl>
      <w:tblPr>
        <w:tblStyle w:val="9"/>
        <w:tblW w:w="15386" w:type="dxa"/>
        <w:tblInd w:w="-601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5933"/>
        <w:gridCol w:w="2952"/>
        <w:gridCol w:w="2981"/>
        <w:gridCol w:w="295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shd w:val="clear" w:color="auto" w:fill="auto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>
            <w:pPr>
              <w:jc w:val="center"/>
              <w:rPr>
                <w:rFonts w:eastAsia="SimSu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5933" w:type="dxa"/>
            <w:shd w:val="clear" w:color="auto" w:fill="auto"/>
          </w:tcPr>
          <w:p>
            <w:pPr>
              <w:ind w:left="53"/>
              <w:jc w:val="center"/>
              <w:rPr>
                <w:rFonts w:eastAsia="SimSu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мероприятий</w:t>
            </w:r>
          </w:p>
        </w:tc>
        <w:tc>
          <w:tcPr>
            <w:tcW w:w="2952" w:type="dxa"/>
            <w:shd w:val="clear" w:color="auto" w:fill="auto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Форма завершения</w:t>
            </w:r>
          </w:p>
        </w:tc>
        <w:tc>
          <w:tcPr>
            <w:tcW w:w="2981" w:type="dxa"/>
            <w:shd w:val="clear" w:color="auto" w:fill="auto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Ответственные за исполнение</w:t>
            </w:r>
          </w:p>
        </w:tc>
        <w:tc>
          <w:tcPr>
            <w:tcW w:w="2953" w:type="dxa"/>
            <w:shd w:val="clear" w:color="auto" w:fill="auto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Сроки исполнения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33" w:type="dxa"/>
            <w:shd w:val="clear" w:color="auto" w:fill="auto"/>
          </w:tcPr>
          <w:p>
            <w:pPr>
              <w:ind w:left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на сайте ВК ОЦК в разделе «Противодействие коррупции», плана мероприятий по противодействию на 2022год». </w:t>
            </w:r>
          </w:p>
        </w:tc>
        <w:tc>
          <w:tcPr>
            <w:tcW w:w="2952" w:type="dxa"/>
            <w:shd w:val="clear" w:color="auto" w:fill="auto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Официальный сайт ВК ОЦК раздел </w:t>
            </w:r>
            <w:r>
              <w:rPr>
                <w:bCs/>
                <w:sz w:val="24"/>
                <w:szCs w:val="24"/>
                <w:lang w:val="en-US"/>
              </w:rPr>
              <w:t>wwwvkock</w:t>
            </w:r>
            <w:r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  <w:lang w:val="en-US"/>
              </w:rPr>
              <w:t>kz</w:t>
            </w:r>
            <w:r>
              <w:rPr>
                <w:bCs/>
                <w:sz w:val="24"/>
                <w:szCs w:val="24"/>
              </w:rPr>
              <w:t xml:space="preserve"> «Противодействие коррупции»</w:t>
            </w:r>
          </w:p>
        </w:tc>
        <w:tc>
          <w:tcPr>
            <w:tcW w:w="2981" w:type="dxa"/>
            <w:shd w:val="clear" w:color="auto" w:fill="auto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Ответственный специалист, программист</w:t>
            </w:r>
          </w:p>
        </w:tc>
        <w:tc>
          <w:tcPr>
            <w:tcW w:w="2953" w:type="dxa"/>
            <w:shd w:val="clear" w:color="auto" w:fill="auto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ru-RU"/>
              </w:rPr>
              <w:t>М</w:t>
            </w:r>
            <w:bookmarkStart w:id="0" w:name="_GoBack"/>
            <w:bookmarkEnd w:id="0"/>
            <w:r>
              <w:rPr>
                <w:bCs/>
                <w:sz w:val="24"/>
                <w:szCs w:val="24"/>
              </w:rPr>
              <w:t xml:space="preserve">арт 2022 г.                               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33" w:type="dxa"/>
            <w:shd w:val="clear" w:color="auto" w:fill="auto"/>
          </w:tcPr>
          <w:p>
            <w:pPr>
              <w:ind w:left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внутреннего анализа коррупционных рисков по вопросам:</w:t>
            </w:r>
          </w:p>
          <w:p>
            <w:pPr>
              <w:ind w:left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-выявления коррупционных рисков в правовых актах и другой нормативной базе</w:t>
            </w:r>
          </w:p>
          <w:p>
            <w:pPr>
              <w:ind w:left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-управления персоналом, в том числе сменяемость кадров, урегулирования конфликта интересов.</w:t>
            </w:r>
          </w:p>
        </w:tc>
        <w:tc>
          <w:tcPr>
            <w:tcW w:w="2952" w:type="dxa"/>
            <w:shd w:val="clear" w:color="auto" w:fill="auto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Аналитическая справка</w:t>
            </w:r>
          </w:p>
        </w:tc>
        <w:tc>
          <w:tcPr>
            <w:tcW w:w="2981" w:type="dxa"/>
            <w:shd w:val="clear" w:color="auto" w:fill="auto"/>
          </w:tcPr>
          <w:p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Зам. директора по медицинской части</w:t>
            </w:r>
          </w:p>
          <w:p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Главный бухгалтер</w:t>
            </w:r>
          </w:p>
          <w:p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Главная медсестра</w:t>
            </w:r>
          </w:p>
          <w:p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Специалист службы управления персоналом</w:t>
            </w:r>
          </w:p>
          <w:p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Юрисконсульт</w:t>
            </w:r>
          </w:p>
        </w:tc>
        <w:tc>
          <w:tcPr>
            <w:tcW w:w="2953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Один раз в полугодие</w:t>
            </w:r>
          </w:p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2022 г.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933" w:type="dxa"/>
            <w:shd w:val="clear" w:color="auto" w:fill="auto"/>
          </w:tcPr>
          <w:p>
            <w:pPr>
              <w:ind w:left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Опубликование на сайте ВК ОЦК результатов проведенного внутреннего анализа коррупционных рисков и информации о принятых (принимаемых) мерах по устранению коррупционных рисков.</w:t>
            </w:r>
          </w:p>
        </w:tc>
        <w:tc>
          <w:tcPr>
            <w:tcW w:w="2952" w:type="dxa"/>
            <w:shd w:val="clear" w:color="auto" w:fill="auto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Раздел «Противодействие коррупции» на сайте </w:t>
            </w:r>
            <w:r>
              <w:rPr>
                <w:bCs/>
                <w:sz w:val="24"/>
                <w:szCs w:val="24"/>
                <w:lang w:val="en-US"/>
              </w:rPr>
              <w:t>wwwvkock</w:t>
            </w:r>
            <w:r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  <w:lang w:val="en-US"/>
              </w:rPr>
              <w:t>kz</w:t>
            </w:r>
          </w:p>
        </w:tc>
        <w:tc>
          <w:tcPr>
            <w:tcW w:w="2981" w:type="dxa"/>
            <w:shd w:val="clear" w:color="auto" w:fill="auto"/>
          </w:tcPr>
          <w:p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Ответственный специалист,  программист</w:t>
            </w:r>
          </w:p>
        </w:tc>
        <w:tc>
          <w:tcPr>
            <w:tcW w:w="2953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По итогам проведенного внутреннего анализа коррупционных рисков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933" w:type="dxa"/>
            <w:shd w:val="clear" w:color="auto" w:fill="auto"/>
          </w:tcPr>
          <w:p>
            <w:pPr>
              <w:ind w:left="5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Ознакомление вновь принятых сотрудников с положением о мерах по предупреждению и противодействию коррупции в ВК ОЦК.</w:t>
            </w:r>
          </w:p>
        </w:tc>
        <w:tc>
          <w:tcPr>
            <w:tcW w:w="2952" w:type="dxa"/>
            <w:shd w:val="clear" w:color="auto" w:fill="auto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Инструктаж</w:t>
            </w:r>
          </w:p>
        </w:tc>
        <w:tc>
          <w:tcPr>
            <w:tcW w:w="2981" w:type="dxa"/>
            <w:shd w:val="clear" w:color="auto" w:fill="auto"/>
          </w:tcPr>
          <w:p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Юрисконсульт</w:t>
            </w:r>
          </w:p>
          <w:p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Служба управления персоналом</w:t>
            </w:r>
          </w:p>
        </w:tc>
        <w:tc>
          <w:tcPr>
            <w:tcW w:w="2953" w:type="dxa"/>
            <w:shd w:val="clear" w:color="auto" w:fill="auto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 приеме на работу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</w:trPr>
        <w:tc>
          <w:tcPr>
            <w:tcW w:w="567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933" w:type="dxa"/>
            <w:shd w:val="clear" w:color="auto" w:fill="auto"/>
          </w:tcPr>
          <w:p>
            <w:pPr>
              <w:ind w:left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обучающих мероприятий по вопросам профилактики и противодействия коррупции: </w:t>
            </w:r>
          </w:p>
          <w:p>
            <w:pPr>
              <w:pStyle w:val="11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Положение о мерах по предупреждению и противодействию коррупции в КГП на ПХВ «Восточно-Казахстанский областной центр крови»</w:t>
            </w:r>
          </w:p>
          <w:p>
            <w:pPr>
              <w:pStyle w:val="11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«Коррупционные риски ВКОЦК». </w:t>
            </w:r>
          </w:p>
        </w:tc>
        <w:tc>
          <w:tcPr>
            <w:tcW w:w="2952" w:type="dxa"/>
            <w:shd w:val="clear" w:color="auto" w:fill="auto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Протокол</w:t>
            </w:r>
          </w:p>
        </w:tc>
        <w:tc>
          <w:tcPr>
            <w:tcW w:w="2981" w:type="dxa"/>
            <w:shd w:val="clear" w:color="auto" w:fill="auto"/>
          </w:tcPr>
          <w:p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Юрисконсульт, ответственный специалист </w:t>
            </w:r>
          </w:p>
        </w:tc>
        <w:tc>
          <w:tcPr>
            <w:tcW w:w="2953" w:type="dxa"/>
            <w:shd w:val="clear" w:color="auto" w:fill="auto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  <w:highlight w:val="yellow"/>
              </w:rPr>
            </w:pPr>
          </w:p>
          <w:p>
            <w:pPr>
              <w:jc w:val="center"/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  <w:highlight w:val="yellow"/>
              </w:rPr>
              <w:t xml:space="preserve">Апрель 2021 г. </w:t>
            </w:r>
          </w:p>
          <w:p>
            <w:pPr>
              <w:jc w:val="center"/>
              <w:rPr>
                <w:bCs/>
                <w:sz w:val="24"/>
                <w:szCs w:val="24"/>
                <w:highlight w:val="yellow"/>
              </w:rPr>
            </w:pPr>
          </w:p>
          <w:p>
            <w:pPr>
              <w:jc w:val="center"/>
              <w:rPr>
                <w:bCs/>
                <w:sz w:val="24"/>
                <w:szCs w:val="24"/>
                <w:highlight w:val="yellow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highlight w:val="yellow"/>
              </w:rPr>
              <w:t>октябрь 2021 г.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933" w:type="dxa"/>
            <w:shd w:val="clear" w:color="auto" w:fill="auto"/>
          </w:tcPr>
          <w:p>
            <w:pPr>
              <w:ind w:left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регулярного контроля экономической обоснованности расходов в сферах с высоким.  коррупционным риском: обмен деловыми подарками, представительские расходы, благотворительные пожертвования, вознаграждения внешним консультантам. </w:t>
            </w:r>
          </w:p>
        </w:tc>
        <w:tc>
          <w:tcPr>
            <w:tcW w:w="2952" w:type="dxa"/>
            <w:shd w:val="clear" w:color="auto" w:fill="auto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Информация директору</w:t>
            </w:r>
          </w:p>
        </w:tc>
        <w:tc>
          <w:tcPr>
            <w:tcW w:w="2981" w:type="dxa"/>
            <w:shd w:val="clear" w:color="auto" w:fill="auto"/>
          </w:tcPr>
          <w:p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Юрисконсульт</w:t>
            </w:r>
          </w:p>
          <w:p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Главный бухгалтер</w:t>
            </w:r>
          </w:p>
          <w:p>
            <w:pPr>
              <w:jc w:val="center"/>
              <w:rPr>
                <w:rFonts w:eastAsia="SimSun"/>
                <w:sz w:val="24"/>
                <w:szCs w:val="24"/>
              </w:rPr>
            </w:pPr>
          </w:p>
          <w:p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Постоянно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933" w:type="dxa"/>
            <w:shd w:val="clear" w:color="auto" w:fill="auto"/>
          </w:tcPr>
          <w:p>
            <w:pPr>
              <w:ind w:left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обращений о случаях совершения коррупционных правонарушений работниками ВК ОЦК, о случаях склонения работников к совершению коррупционных правонарушений в интересах или от имени иной организации или физического лица, контрагентами или иными лицами (далее-Обращения).</w:t>
            </w:r>
          </w:p>
        </w:tc>
        <w:tc>
          <w:tcPr>
            <w:tcW w:w="2952" w:type="dxa"/>
            <w:shd w:val="clear" w:color="auto" w:fill="auto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Регистрация в журнале</w:t>
            </w:r>
          </w:p>
        </w:tc>
        <w:tc>
          <w:tcPr>
            <w:tcW w:w="2981" w:type="dxa"/>
            <w:shd w:val="clear" w:color="auto" w:fill="auto"/>
          </w:tcPr>
          <w:p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Юрисконсульт</w:t>
            </w:r>
          </w:p>
        </w:tc>
        <w:tc>
          <w:tcPr>
            <w:tcW w:w="2953" w:type="dxa"/>
            <w:shd w:val="clear" w:color="auto" w:fill="auto"/>
          </w:tcPr>
          <w:p>
            <w:pPr>
              <w:pStyle w:val="8"/>
              <w:jc w:val="center"/>
            </w:pPr>
            <w:r>
              <w:rPr>
                <w:color w:val="000000"/>
              </w:rPr>
              <w:t>По мере поступления</w:t>
            </w: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933" w:type="dxa"/>
            <w:shd w:val="clear" w:color="auto" w:fill="auto"/>
          </w:tcPr>
          <w:p>
            <w:pPr>
              <w:ind w:left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 Обращений с регистрацией ответственным лицом в журнале регистрации информации об обращениях граждан о совершении коррупционных правонарушений работниками.</w:t>
            </w:r>
          </w:p>
        </w:tc>
        <w:tc>
          <w:tcPr>
            <w:tcW w:w="2952" w:type="dxa"/>
            <w:shd w:val="clear" w:color="auto" w:fill="auto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рассмотрения обращений, ответ в письменной форме</w:t>
            </w:r>
          </w:p>
        </w:tc>
        <w:tc>
          <w:tcPr>
            <w:tcW w:w="2981" w:type="dxa"/>
            <w:shd w:val="clear" w:color="auto" w:fill="auto"/>
          </w:tcPr>
          <w:p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Юрисконсульт</w:t>
            </w:r>
          </w:p>
        </w:tc>
        <w:tc>
          <w:tcPr>
            <w:tcW w:w="2953" w:type="dxa"/>
            <w:shd w:val="clear" w:color="auto" w:fill="auto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В установленные законами сроки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shd w:val="clear" w:color="auto" w:fill="auto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5933" w:type="dxa"/>
            <w:shd w:val="clear" w:color="auto" w:fill="auto"/>
          </w:tcPr>
          <w:p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Размещение плакатов, консультаций по вопросам противодействия коррупции</w:t>
            </w:r>
          </w:p>
          <w:p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952" w:type="dxa"/>
            <w:shd w:val="clear" w:color="auto" w:fill="auto"/>
          </w:tcPr>
          <w:p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Памятка</w:t>
            </w:r>
          </w:p>
        </w:tc>
        <w:tc>
          <w:tcPr>
            <w:tcW w:w="2981" w:type="dxa"/>
            <w:shd w:val="clear" w:color="auto" w:fill="auto"/>
          </w:tcPr>
          <w:p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Ответственный специалист </w:t>
            </w:r>
          </w:p>
          <w:p>
            <w:pPr>
              <w:jc w:val="center"/>
              <w:rPr>
                <w:rFonts w:eastAsia="SimSun"/>
                <w:sz w:val="24"/>
                <w:szCs w:val="24"/>
                <w:lang w:val="en-US"/>
              </w:rPr>
            </w:pPr>
          </w:p>
        </w:tc>
        <w:tc>
          <w:tcPr>
            <w:tcW w:w="2953" w:type="dxa"/>
            <w:shd w:val="clear" w:color="auto" w:fill="auto"/>
          </w:tcPr>
          <w:p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По мере обновления информации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shd w:val="clear" w:color="auto" w:fill="auto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933" w:type="dxa"/>
            <w:shd w:val="clear" w:color="auto" w:fill="auto"/>
          </w:tcPr>
          <w:p>
            <w:pPr>
              <w:rPr>
                <w:rFonts w:eastAsia="SimSun"/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бесперебойного функционирования «телефона доверия»</w:t>
            </w:r>
          </w:p>
        </w:tc>
        <w:tc>
          <w:tcPr>
            <w:tcW w:w="2952" w:type="dxa"/>
            <w:shd w:val="clear" w:color="auto" w:fill="auto"/>
          </w:tcPr>
          <w:p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Информация на официальном сайте ВК ОЦК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val="en-US"/>
              </w:rPr>
              <w:t>wwwvkock</w:t>
            </w:r>
            <w:r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  <w:lang w:val="en-US"/>
              </w:rPr>
              <w:t>kz</w:t>
            </w:r>
            <w:r>
              <w:rPr>
                <w:rFonts w:eastAsia="SimSun"/>
                <w:sz w:val="24"/>
                <w:szCs w:val="24"/>
              </w:rPr>
              <w:t xml:space="preserve">, на 1 этаже регистратура </w:t>
            </w:r>
          </w:p>
        </w:tc>
        <w:tc>
          <w:tcPr>
            <w:tcW w:w="2981" w:type="dxa"/>
            <w:shd w:val="clear" w:color="auto" w:fill="auto"/>
          </w:tcPr>
          <w:p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СПДиВК</w:t>
            </w:r>
          </w:p>
        </w:tc>
        <w:tc>
          <w:tcPr>
            <w:tcW w:w="2953" w:type="dxa"/>
            <w:shd w:val="clear" w:color="auto" w:fill="auto"/>
          </w:tcPr>
          <w:p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Постоянно</w:t>
            </w:r>
          </w:p>
        </w:tc>
      </w:tr>
    </w:tbl>
    <w:p>
      <w:pPr>
        <w:jc w:val="center"/>
        <w:rPr>
          <w:b/>
          <w:bCs/>
          <w:sz w:val="28"/>
          <w:szCs w:val="28"/>
        </w:rPr>
      </w:pPr>
    </w:p>
    <w:sectPr>
      <w:footerReference r:id="rId7" w:type="first"/>
      <w:headerReference r:id="rId5" w:type="default"/>
      <w:footerReference r:id="rId6" w:type="default"/>
      <w:pgSz w:w="16838" w:h="11906" w:orient="landscape"/>
      <w:pgMar w:top="284" w:right="851" w:bottom="851" w:left="1418" w:header="142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30674412"/>
      <w:docPartObj>
        <w:docPartGallery w:val="AutoText"/>
      </w:docPartObj>
    </w:sdtPr>
    <w:sdtContent>
      <w:p>
        <w:pPr>
          <w:pStyle w:val="7"/>
          <w:jc w:val="right"/>
        </w:pPr>
      </w:p>
    </w:sdtContent>
  </w:sdt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304157"/>
      <w:docPartObj>
        <w:docPartGallery w:val="AutoText"/>
      </w:docPartObj>
    </w:sdtPr>
    <w:sdtContent>
      <w:p>
        <w:pPr>
          <w:pStyle w:val="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>
    <w:pPr>
      <w:pStyle w:val="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307172241"/>
      <w:docPartObj>
        <w:docPartGallery w:val="AutoText"/>
      </w:docPartObj>
    </w:sdtPr>
    <w:sdtContent>
      <w:p>
        <w:pPr>
          <w:pStyle w:val="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F0114E4"/>
    <w:multiLevelType w:val="multilevel"/>
    <w:tmpl w:val="4F0114E4"/>
    <w:lvl w:ilvl="0" w:tentative="0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133" w:hanging="360"/>
      </w:pPr>
    </w:lvl>
    <w:lvl w:ilvl="2" w:tentative="0">
      <w:start w:val="1"/>
      <w:numFmt w:val="lowerRoman"/>
      <w:lvlText w:val="%3."/>
      <w:lvlJc w:val="right"/>
      <w:pPr>
        <w:ind w:left="1853" w:hanging="180"/>
      </w:pPr>
    </w:lvl>
    <w:lvl w:ilvl="3" w:tentative="0">
      <w:start w:val="1"/>
      <w:numFmt w:val="decimal"/>
      <w:lvlText w:val="%4."/>
      <w:lvlJc w:val="left"/>
      <w:pPr>
        <w:ind w:left="2573" w:hanging="360"/>
      </w:pPr>
    </w:lvl>
    <w:lvl w:ilvl="4" w:tentative="0">
      <w:start w:val="1"/>
      <w:numFmt w:val="lowerLetter"/>
      <w:lvlText w:val="%5."/>
      <w:lvlJc w:val="left"/>
      <w:pPr>
        <w:ind w:left="3293" w:hanging="360"/>
      </w:pPr>
    </w:lvl>
    <w:lvl w:ilvl="5" w:tentative="0">
      <w:start w:val="1"/>
      <w:numFmt w:val="lowerRoman"/>
      <w:lvlText w:val="%6."/>
      <w:lvlJc w:val="right"/>
      <w:pPr>
        <w:ind w:left="4013" w:hanging="180"/>
      </w:pPr>
    </w:lvl>
    <w:lvl w:ilvl="6" w:tentative="0">
      <w:start w:val="1"/>
      <w:numFmt w:val="decimal"/>
      <w:lvlText w:val="%7."/>
      <w:lvlJc w:val="left"/>
      <w:pPr>
        <w:ind w:left="4733" w:hanging="360"/>
      </w:pPr>
    </w:lvl>
    <w:lvl w:ilvl="7" w:tentative="0">
      <w:start w:val="1"/>
      <w:numFmt w:val="lowerLetter"/>
      <w:lvlText w:val="%8."/>
      <w:lvlJc w:val="left"/>
      <w:pPr>
        <w:ind w:left="5453" w:hanging="360"/>
      </w:pPr>
    </w:lvl>
    <w:lvl w:ilvl="8" w:tentative="0">
      <w:start w:val="1"/>
      <w:numFmt w:val="lowerRoman"/>
      <w:lvlText w:val="%9."/>
      <w:lvlJc w:val="right"/>
      <w:pPr>
        <w:ind w:left="617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095A8C"/>
    <w:rsid w:val="000061D2"/>
    <w:rsid w:val="00047D19"/>
    <w:rsid w:val="00053918"/>
    <w:rsid w:val="00061805"/>
    <w:rsid w:val="00067BE1"/>
    <w:rsid w:val="00092C21"/>
    <w:rsid w:val="00095A8C"/>
    <w:rsid w:val="000A6063"/>
    <w:rsid w:val="000D4B90"/>
    <w:rsid w:val="001014CE"/>
    <w:rsid w:val="00105428"/>
    <w:rsid w:val="00181DAB"/>
    <w:rsid w:val="001A3E25"/>
    <w:rsid w:val="001A4AEF"/>
    <w:rsid w:val="001E6C6F"/>
    <w:rsid w:val="002272BD"/>
    <w:rsid w:val="00231D67"/>
    <w:rsid w:val="002763A1"/>
    <w:rsid w:val="00284AE7"/>
    <w:rsid w:val="00290975"/>
    <w:rsid w:val="00294EE2"/>
    <w:rsid w:val="002E20A3"/>
    <w:rsid w:val="002E6D04"/>
    <w:rsid w:val="003136F1"/>
    <w:rsid w:val="003501DF"/>
    <w:rsid w:val="00351FD3"/>
    <w:rsid w:val="00390594"/>
    <w:rsid w:val="003B4699"/>
    <w:rsid w:val="003C5A70"/>
    <w:rsid w:val="003E0021"/>
    <w:rsid w:val="003F6036"/>
    <w:rsid w:val="004067CC"/>
    <w:rsid w:val="00477B80"/>
    <w:rsid w:val="00505910"/>
    <w:rsid w:val="0051329E"/>
    <w:rsid w:val="00524748"/>
    <w:rsid w:val="005352F2"/>
    <w:rsid w:val="005409A1"/>
    <w:rsid w:val="005D1871"/>
    <w:rsid w:val="005D1DB1"/>
    <w:rsid w:val="006064D5"/>
    <w:rsid w:val="006202AA"/>
    <w:rsid w:val="00622C7A"/>
    <w:rsid w:val="006762E4"/>
    <w:rsid w:val="006B1670"/>
    <w:rsid w:val="006C5742"/>
    <w:rsid w:val="006D71E3"/>
    <w:rsid w:val="006F3EE2"/>
    <w:rsid w:val="00711056"/>
    <w:rsid w:val="007218DA"/>
    <w:rsid w:val="00732D1C"/>
    <w:rsid w:val="00735BB1"/>
    <w:rsid w:val="00735E83"/>
    <w:rsid w:val="00737181"/>
    <w:rsid w:val="007554AE"/>
    <w:rsid w:val="007604B8"/>
    <w:rsid w:val="00765A3A"/>
    <w:rsid w:val="0079601E"/>
    <w:rsid w:val="007A2674"/>
    <w:rsid w:val="007B11BE"/>
    <w:rsid w:val="007B3107"/>
    <w:rsid w:val="007E3A71"/>
    <w:rsid w:val="00894B3D"/>
    <w:rsid w:val="009011C2"/>
    <w:rsid w:val="00916C7C"/>
    <w:rsid w:val="009352A8"/>
    <w:rsid w:val="00942FE9"/>
    <w:rsid w:val="00956EE6"/>
    <w:rsid w:val="00962A1B"/>
    <w:rsid w:val="009B29A6"/>
    <w:rsid w:val="009D539A"/>
    <w:rsid w:val="009F564D"/>
    <w:rsid w:val="00A454D2"/>
    <w:rsid w:val="00A45981"/>
    <w:rsid w:val="00A466A1"/>
    <w:rsid w:val="00A75A19"/>
    <w:rsid w:val="00A81866"/>
    <w:rsid w:val="00AA25EF"/>
    <w:rsid w:val="00AA71CA"/>
    <w:rsid w:val="00AE0F33"/>
    <w:rsid w:val="00AE2FDB"/>
    <w:rsid w:val="00B247D9"/>
    <w:rsid w:val="00B279F6"/>
    <w:rsid w:val="00B379B9"/>
    <w:rsid w:val="00B850A0"/>
    <w:rsid w:val="00BA68BB"/>
    <w:rsid w:val="00BF3D72"/>
    <w:rsid w:val="00BF6255"/>
    <w:rsid w:val="00C03FC2"/>
    <w:rsid w:val="00C66BBD"/>
    <w:rsid w:val="00CB2FD2"/>
    <w:rsid w:val="00CB69A1"/>
    <w:rsid w:val="00CD7E6C"/>
    <w:rsid w:val="00CE233A"/>
    <w:rsid w:val="00D2087D"/>
    <w:rsid w:val="00D25329"/>
    <w:rsid w:val="00D54E88"/>
    <w:rsid w:val="00D60516"/>
    <w:rsid w:val="00D670AF"/>
    <w:rsid w:val="00DB64A3"/>
    <w:rsid w:val="00DC2D89"/>
    <w:rsid w:val="00DE38B2"/>
    <w:rsid w:val="00E73D73"/>
    <w:rsid w:val="00EA3491"/>
    <w:rsid w:val="00EC5E38"/>
    <w:rsid w:val="00F10BF0"/>
    <w:rsid w:val="00F1744B"/>
    <w:rsid w:val="00F36720"/>
    <w:rsid w:val="00F41BC4"/>
    <w:rsid w:val="00F55B20"/>
    <w:rsid w:val="00F76721"/>
    <w:rsid w:val="00F776A5"/>
    <w:rsid w:val="00FB0570"/>
    <w:rsid w:val="00FB2489"/>
    <w:rsid w:val="00FD1028"/>
    <w:rsid w:val="00FD6F0F"/>
    <w:rsid w:val="00FE1616"/>
    <w:rsid w:val="00FE609C"/>
    <w:rsid w:val="00FF2B82"/>
    <w:rsid w:val="00FF32E8"/>
    <w:rsid w:val="00FF3FBE"/>
    <w:rsid w:val="69CA6F9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semiHidden/>
    <w:unhideWhenUsed/>
    <w:qFormat/>
    <w:uiPriority w:val="0"/>
    <w:rPr>
      <w:color w:val="0000FF"/>
      <w:u w:val="single"/>
    </w:rPr>
  </w:style>
  <w:style w:type="paragraph" w:styleId="5">
    <w:name w:val="Balloon Text"/>
    <w:basedOn w:val="1"/>
    <w:link w:val="10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tabs>
        <w:tab w:val="center" w:pos="4677"/>
        <w:tab w:val="right" w:pos="9355"/>
      </w:tabs>
    </w:pPr>
  </w:style>
  <w:style w:type="paragraph" w:styleId="7">
    <w:name w:val="footer"/>
    <w:basedOn w:val="1"/>
    <w:link w:val="13"/>
    <w:unhideWhenUsed/>
    <w:qFormat/>
    <w:uiPriority w:val="99"/>
    <w:pPr>
      <w:tabs>
        <w:tab w:val="center" w:pos="4677"/>
        <w:tab w:val="right" w:pos="9355"/>
      </w:tabs>
    </w:pPr>
  </w:style>
  <w:style w:type="paragraph" w:styleId="8">
    <w:name w:val="Normal (Web)"/>
    <w:basedOn w:val="1"/>
    <w:link w:val="17"/>
    <w:semiHidden/>
    <w:unhideWhenUsed/>
    <w:qFormat/>
    <w:uiPriority w:val="99"/>
    <w:pPr>
      <w:spacing w:before="100" w:beforeAutospacing="1" w:after="100" w:afterAutospacing="1"/>
    </w:pPr>
    <w:rPr>
      <w:sz w:val="24"/>
      <w:szCs w:val="24"/>
      <w:lang w:eastAsia="ru-RU"/>
    </w:rPr>
  </w:style>
  <w:style w:type="table" w:styleId="9">
    <w:name w:val="Table Grid"/>
    <w:basedOn w:val="3"/>
    <w:qFormat/>
    <w:uiPriority w:val="3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10">
    <w:name w:val="Текст выноски Знак"/>
    <w:basedOn w:val="2"/>
    <w:link w:val="5"/>
    <w:semiHidden/>
    <w:qFormat/>
    <w:uiPriority w:val="99"/>
    <w:rPr>
      <w:rFonts w:ascii="Segoe UI" w:hAnsi="Segoe UI" w:eastAsia="Times New Roman" w:cs="Segoe UI"/>
      <w:sz w:val="18"/>
      <w:szCs w:val="18"/>
      <w:lang w:eastAsia="zh-CN"/>
    </w:rPr>
  </w:style>
  <w:style w:type="paragraph" w:styleId="11">
    <w:name w:val="List Paragraph"/>
    <w:basedOn w:val="1"/>
    <w:qFormat/>
    <w:uiPriority w:val="34"/>
    <w:pPr>
      <w:ind w:left="720"/>
      <w:contextualSpacing/>
    </w:pPr>
  </w:style>
  <w:style w:type="character" w:customStyle="1" w:styleId="12">
    <w:name w:val="Верхний колонтитул Знак"/>
    <w:basedOn w:val="2"/>
    <w:link w:val="6"/>
    <w:qFormat/>
    <w:uiPriority w:val="99"/>
    <w:rPr>
      <w:rFonts w:ascii="Times New Roman" w:hAnsi="Times New Roman" w:eastAsia="Times New Roman" w:cs="Times New Roman"/>
      <w:sz w:val="20"/>
      <w:szCs w:val="20"/>
      <w:lang w:eastAsia="zh-CN"/>
    </w:rPr>
  </w:style>
  <w:style w:type="character" w:customStyle="1" w:styleId="13">
    <w:name w:val="Нижний колонтитул Знак"/>
    <w:basedOn w:val="2"/>
    <w:link w:val="7"/>
    <w:qFormat/>
    <w:uiPriority w:val="99"/>
    <w:rPr>
      <w:rFonts w:ascii="Times New Roman" w:hAnsi="Times New Roman" w:eastAsia="Times New Roman" w:cs="Times New Roman"/>
      <w:sz w:val="20"/>
      <w:szCs w:val="20"/>
      <w:lang w:eastAsia="zh-CN"/>
    </w:rPr>
  </w:style>
  <w:style w:type="paragraph" w:styleId="14">
    <w:name w:val="No Spacing"/>
    <w:qFormat/>
    <w:uiPriority w:val="1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zh-CN" w:bidi="ar-SA"/>
    </w:rPr>
  </w:style>
  <w:style w:type="character" w:customStyle="1" w:styleId="15">
    <w:name w:val="Основной текст (2)_"/>
    <w:basedOn w:val="2"/>
    <w:link w:val="16"/>
    <w:qFormat/>
    <w:uiPriority w:val="0"/>
    <w:rPr>
      <w:sz w:val="26"/>
      <w:szCs w:val="26"/>
      <w:shd w:val="clear" w:color="auto" w:fill="FFFFFF"/>
    </w:rPr>
  </w:style>
  <w:style w:type="paragraph" w:customStyle="1" w:styleId="16">
    <w:name w:val="Основной текст (2)"/>
    <w:basedOn w:val="1"/>
    <w:link w:val="15"/>
    <w:qFormat/>
    <w:uiPriority w:val="0"/>
    <w:pPr>
      <w:widowControl w:val="0"/>
      <w:shd w:val="clear" w:color="auto" w:fill="FFFFFF"/>
      <w:spacing w:before="640" w:line="320" w:lineRule="exact"/>
      <w:jc w:val="both"/>
    </w:pPr>
    <w:rPr>
      <w:rFonts w:asciiTheme="minorHAnsi" w:hAnsiTheme="minorHAnsi" w:eastAsiaTheme="minorHAnsi" w:cstheme="minorBidi"/>
      <w:sz w:val="26"/>
      <w:szCs w:val="26"/>
      <w:lang w:eastAsia="en-US"/>
    </w:rPr>
  </w:style>
  <w:style w:type="character" w:customStyle="1" w:styleId="17">
    <w:name w:val="Обычный (Интернет) Знак"/>
    <w:link w:val="8"/>
    <w:semiHidden/>
    <w:qFormat/>
    <w:locked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461</Words>
  <Characters>2633</Characters>
  <Lines>21</Lines>
  <Paragraphs>6</Paragraphs>
  <TotalTime>289</TotalTime>
  <ScaleCrop>false</ScaleCrop>
  <LinksUpToDate>false</LinksUpToDate>
  <CharactersWithSpaces>3088</CharactersWithSpaces>
  <Application>WPS Office_11.2.0.11029_F1E327BC-269C-435d-A152-05C5408002CA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2019-03-26T07:32:00Z</dcterms:created>
  <dc:creator>Faizola B. Bismildin</dc:creator>
  <cp:lastModifiedBy>User</cp:lastModifiedBy>
  <cp:lastPrinted>2022-03-02T02:33:00Z</cp:lastPrinted>
  <dcterms:modified xsi:type="dcterms:W3CDTF">2022-03-22T16:17:05Z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1049-11.2.0.11029</vt:lpwstr>
  </property>
  <property fmtid="{D5CDD505-2E9C-101B-9397-08002B2CF9AE}" pid="3" name="ICV">
    <vt:lpwstr>6DFA9A9C90DA424584FB8BC807118F78</vt:lpwstr>
  </property>
</Properties>
</file>