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77C5" w14:textId="77777777" w:rsidR="00F40A85" w:rsidRDefault="00F40A85">
      <w:pPr>
        <w:jc w:val="right"/>
      </w:pPr>
      <w:r>
        <w:rPr>
          <w:color w:val="AAAAAA"/>
          <w:sz w:val="20"/>
          <w:szCs w:val="20"/>
        </w:rPr>
        <w:t xml:space="preserve">Источник: ИС Параграф WWW </w:t>
      </w:r>
      <w:hyperlink r:id="rId4" w:history="1">
        <w:r>
          <w:rPr>
            <w:rStyle w:val="a3"/>
            <w:sz w:val="20"/>
            <w:szCs w:val="20"/>
          </w:rPr>
          <w:t>http:///online.zakon.kz</w:t>
        </w:r>
      </w:hyperlink>
    </w:p>
    <w:p w14:paraId="5957AC76" w14:textId="77777777" w:rsidR="00F40A85" w:rsidRDefault="00F40A85">
      <w:pPr>
        <w:rPr>
          <w:color w:val="auto"/>
        </w:rPr>
      </w:pPr>
    </w:p>
    <w:p w14:paraId="13801A4A" w14:textId="77777777" w:rsidR="00F40A85" w:rsidRPr="009902CE" w:rsidRDefault="00F40A85">
      <w:pPr>
        <w:jc w:val="center"/>
        <w:divId w:val="812215753"/>
      </w:pPr>
      <w:r>
        <w:rPr>
          <w:rStyle w:val="s1"/>
        </w:rPr>
        <w:t>Приказ Министра здравоохранения Республики Казахстан от 3 декабря 2020 года № ҚР ДСМ-232/2020</w:t>
      </w:r>
      <w:r>
        <w:rPr>
          <w:rStyle w:val="s1"/>
        </w:rPr>
        <w:br/>
        <w:t>Об утверждении перечня референс-лабораторий, положения об их деятельности, а также критерии и требования к их выбору</w:t>
      </w:r>
    </w:p>
    <w:p w14:paraId="347D402E" w14:textId="77777777" w:rsidR="00F40A85" w:rsidRDefault="00F40A85">
      <w:pPr>
        <w:jc w:val="center"/>
        <w:divId w:val="812215753"/>
      </w:pPr>
      <w:r>
        <w:rPr>
          <w:rStyle w:val="s1"/>
        </w:rPr>
        <w:t> </w:t>
      </w:r>
    </w:p>
    <w:p w14:paraId="44140080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 xml:space="preserve">В соответствии с </w:t>
      </w:r>
      <w:hyperlink r:id="rId5" w:history="1">
        <w:r>
          <w:rPr>
            <w:rStyle w:val="a3"/>
          </w:rPr>
          <w:t>пунктом 4 статьи 130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14:paraId="4E63F588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1. Утвердить:</w:t>
      </w:r>
    </w:p>
    <w:p w14:paraId="6BCF43BC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 xml:space="preserve">1) </w:t>
      </w:r>
      <w:hyperlink w:anchor="sub1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референс-лабораторий согласно приложению 1 к настоящему приказу;</w:t>
      </w:r>
    </w:p>
    <w:p w14:paraId="096681A1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 xml:space="preserve">2) </w:t>
      </w:r>
      <w:hyperlink w:anchor="sub100" w:history="1">
        <w:r>
          <w:rPr>
            <w:rStyle w:val="a3"/>
          </w:rPr>
          <w:t>положения</w:t>
        </w:r>
      </w:hyperlink>
      <w:r>
        <w:rPr>
          <w:rStyle w:val="s0"/>
        </w:rPr>
        <w:t xml:space="preserve"> о деятельности референс-лабораторий согласно приложению 2 к настоящему приказу;</w:t>
      </w:r>
    </w:p>
    <w:p w14:paraId="3C87BA8E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 xml:space="preserve">3) </w:t>
      </w:r>
      <w:hyperlink w:anchor="sub3" w:history="1">
        <w:r>
          <w:rPr>
            <w:rStyle w:val="a3"/>
          </w:rPr>
          <w:t>Критерии</w:t>
        </w:r>
      </w:hyperlink>
      <w:r>
        <w:rPr>
          <w:rStyle w:val="s0"/>
        </w:rPr>
        <w:t xml:space="preserve"> и требования к выбору референс-лабораторий согласно приложению 3 к настоящему приказу.</w:t>
      </w:r>
    </w:p>
    <w:p w14:paraId="3E0CB4D9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0882CBD1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 xml:space="preserve">1) государственную </w:t>
      </w:r>
      <w:hyperlink r:id="rId6" w:history="1">
        <w:r>
          <w:rPr>
            <w:rStyle w:val="a3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14:paraId="1CD1C262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14:paraId="361AD895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3)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3EF3A1B3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14:paraId="238F1424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 xml:space="preserve">4. Настоящий приказ вводится в действие по истечению двадцати одного календарного дня после дня его первого официального </w:t>
      </w:r>
      <w:hyperlink r:id="rId7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14:paraId="430460D3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1A035DE4" w14:textId="77777777" w:rsidR="00F40A85" w:rsidRDefault="00F40A85">
      <w:pPr>
        <w:ind w:firstLine="397"/>
        <w:jc w:val="both"/>
        <w:divId w:val="81221575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0A85" w14:paraId="67D83AEA" w14:textId="77777777">
        <w:trPr>
          <w:divId w:val="812215753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A223" w14:textId="77777777" w:rsidR="00F40A85" w:rsidRPr="009902CE" w:rsidRDefault="00F40A85">
            <w:r w:rsidRPr="009902CE">
              <w:rPr>
                <w:rStyle w:val="s0"/>
                <w:b/>
                <w:bCs/>
              </w:rPr>
              <w:t>Министр здравоохранения</w:t>
            </w:r>
          </w:p>
          <w:p w14:paraId="3A99D5EF" w14:textId="77777777" w:rsidR="00F40A85" w:rsidRPr="009902CE" w:rsidRDefault="00F40A85">
            <w:r w:rsidRPr="009902CE"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F4A9" w14:textId="77777777" w:rsidR="00F40A85" w:rsidRPr="009902CE" w:rsidRDefault="00F40A85">
            <w:pPr>
              <w:jc w:val="right"/>
            </w:pPr>
            <w:r w:rsidRPr="009902CE">
              <w:rPr>
                <w:rStyle w:val="s0"/>
                <w:b/>
                <w:bCs/>
              </w:rPr>
              <w:t> </w:t>
            </w:r>
          </w:p>
          <w:p w14:paraId="31A6D222" w14:textId="77777777" w:rsidR="00F40A85" w:rsidRPr="009902CE" w:rsidRDefault="00F40A85">
            <w:pPr>
              <w:jc w:val="right"/>
            </w:pPr>
            <w:r w:rsidRPr="009902CE">
              <w:rPr>
                <w:rStyle w:val="s0"/>
                <w:b/>
                <w:bCs/>
              </w:rPr>
              <w:t>А. Цой</w:t>
            </w:r>
          </w:p>
        </w:tc>
      </w:tr>
    </w:tbl>
    <w:p w14:paraId="6D5917AB" w14:textId="77777777" w:rsidR="00F40A85" w:rsidRPr="009902CE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0DEDF435" w14:textId="77777777" w:rsidR="00F40A85" w:rsidRDefault="00F40A85">
      <w:pPr>
        <w:jc w:val="right"/>
        <w:divId w:val="812215753"/>
      </w:pPr>
      <w:bookmarkStart w:id="0" w:name="SUB1"/>
      <w:bookmarkEnd w:id="0"/>
      <w:r>
        <w:rPr>
          <w:rStyle w:val="s0"/>
        </w:rPr>
        <w:t xml:space="preserve">Приложение 1 к </w:t>
      </w:r>
      <w:hyperlink w:anchor="sub0" w:history="1">
        <w:r>
          <w:rPr>
            <w:rStyle w:val="a3"/>
          </w:rPr>
          <w:t>приказу</w:t>
        </w:r>
      </w:hyperlink>
    </w:p>
    <w:p w14:paraId="7CBE5D1B" w14:textId="77777777" w:rsidR="00F40A85" w:rsidRDefault="00F40A85">
      <w:pPr>
        <w:jc w:val="right"/>
        <w:divId w:val="812215753"/>
      </w:pPr>
      <w:r>
        <w:rPr>
          <w:rStyle w:val="s0"/>
        </w:rPr>
        <w:t>Министр здравоохранения</w:t>
      </w:r>
    </w:p>
    <w:p w14:paraId="2E06DC6E" w14:textId="77777777" w:rsidR="00F40A85" w:rsidRDefault="00F40A85">
      <w:pPr>
        <w:jc w:val="right"/>
        <w:divId w:val="812215753"/>
      </w:pPr>
      <w:r>
        <w:rPr>
          <w:rStyle w:val="s0"/>
        </w:rPr>
        <w:t>Республики Казахстан</w:t>
      </w:r>
    </w:p>
    <w:p w14:paraId="5843391B" w14:textId="77777777" w:rsidR="00F40A85" w:rsidRDefault="00F40A85">
      <w:pPr>
        <w:jc w:val="right"/>
        <w:divId w:val="812215753"/>
      </w:pPr>
      <w:r>
        <w:rPr>
          <w:rStyle w:val="s0"/>
        </w:rPr>
        <w:t>от 3 декабря 2020 года</w:t>
      </w:r>
    </w:p>
    <w:p w14:paraId="25F2B626" w14:textId="77777777" w:rsidR="00F40A85" w:rsidRDefault="00F40A85">
      <w:pPr>
        <w:jc w:val="right"/>
        <w:divId w:val="812215753"/>
      </w:pPr>
      <w:r>
        <w:rPr>
          <w:rStyle w:val="s0"/>
        </w:rPr>
        <w:t>№ ҚР ДСМ-232/2020</w:t>
      </w:r>
    </w:p>
    <w:p w14:paraId="6B429483" w14:textId="77777777" w:rsidR="00F40A85" w:rsidRDefault="00F40A85">
      <w:pPr>
        <w:jc w:val="right"/>
        <w:divId w:val="812215753"/>
      </w:pPr>
      <w:r>
        <w:rPr>
          <w:rStyle w:val="s0"/>
        </w:rPr>
        <w:t> </w:t>
      </w:r>
    </w:p>
    <w:p w14:paraId="74485515" w14:textId="77777777" w:rsidR="00F40A85" w:rsidRDefault="00F40A85">
      <w:pPr>
        <w:jc w:val="right"/>
        <w:divId w:val="812215753"/>
      </w:pPr>
      <w:r>
        <w:t> </w:t>
      </w:r>
    </w:p>
    <w:p w14:paraId="15F4EB43" w14:textId="77777777" w:rsidR="00F40A85" w:rsidRDefault="00F40A85">
      <w:pPr>
        <w:jc w:val="center"/>
        <w:divId w:val="812215753"/>
      </w:pPr>
      <w:r>
        <w:rPr>
          <w:rStyle w:val="s1"/>
        </w:rPr>
        <w:t>Перечень референс-лабораторий</w:t>
      </w:r>
    </w:p>
    <w:p w14:paraId="6FF21AB7" w14:textId="77777777" w:rsidR="00F40A85" w:rsidRDefault="00F40A85">
      <w:pPr>
        <w:jc w:val="center"/>
        <w:divId w:val="812215753"/>
      </w:pPr>
      <w:r>
        <w:rPr>
          <w:rStyle w:val="s1"/>
        </w:rPr>
        <w:t> </w:t>
      </w:r>
    </w:p>
    <w:p w14:paraId="35F7D338" w14:textId="77777777" w:rsidR="00F40A85" w:rsidRDefault="00F40A85">
      <w:pPr>
        <w:ind w:firstLine="397"/>
        <w:jc w:val="both"/>
        <w:divId w:val="812215753"/>
      </w:pPr>
      <w:r>
        <w:t> </w:t>
      </w:r>
    </w:p>
    <w:p w14:paraId="7F6EE52E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1. Республиканская референс-лаборатория службы крови при республиканском государственном предприятии на праве хозяйственного ведения «Научно-производственный центр трансфузиологии» Министерства здравоохранения Республики Казахстан;</w:t>
      </w:r>
    </w:p>
    <w:p w14:paraId="5C5B0DBF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 xml:space="preserve">2. национальная референс-лаборатория по туберкулезу при республиканском государственном предприятии на праве хозяйственного ведения «Национальный научный </w:t>
      </w:r>
      <w:r>
        <w:rPr>
          <w:rStyle w:val="s0"/>
        </w:rPr>
        <w:lastRenderedPageBreak/>
        <w:t>центр фтизиопульмонологии Республики Казахстан» Министерства здравоохранения Республики Казахстан;</w:t>
      </w:r>
    </w:p>
    <w:p w14:paraId="2C2B31ED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3. референс-лаборатория по контролю за ВИЧ инфекцией при республиканском государственном предприятии на праве хозяйственного ведения «Казахский научный центр дерматологии и инфекционных заболеваний» Министерства здравоохранения Республики Казахстан;</w:t>
      </w:r>
    </w:p>
    <w:p w14:paraId="10272D43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4. референс-лаборатория по контролю за вирусными инфекциями при филиале «Научно-практический центр санитарно-эпидемиологической экспертизы и мониторинга» республиканского государственного предприятия на праве хозяйственного ведения «Национальный центр общественного здравоохранения» Министерства здравоохранения Республики Казахстан;</w:t>
      </w:r>
    </w:p>
    <w:p w14:paraId="4A0026DA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5. референс-лаборатория по контролю за особо опасными инфекциями при филиале «Научно-практический центр санитарно-эпидемиологической экспертизы и мониторинга» республиканского государственного предприятия на праве хозяйственного ведения «Национальный центр общественного здравоохранения» Министерства здравоохранения Республики Казахстан;</w:t>
      </w:r>
    </w:p>
    <w:p w14:paraId="02DF45ED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6. референс-лаборатория по контролю за бактериальными инфекциями и антимикробной резистентностью при филиале «Научно-практический центр санитарно-эпидемиологической экспертизы и мониторинга» республиканского государственного предприятия на праве хозяйственного ведения «Национальный центр общественного здравоохранения» Министерства здравоохранения Республики Казахстан;</w:t>
      </w:r>
    </w:p>
    <w:p w14:paraId="4A8A4893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7. референс-лаборатория по контролю за паразитарными инфекциями при филиале «Научно-практический центр санитарно-эпидемиологической экспертизы и мониторинга» республиканского государственного предприятия на праве хозяйственного ведения «Национальный центр общественного здравоохранения» Министерства здравоохранения Республики Казахстан.</w:t>
      </w:r>
    </w:p>
    <w:p w14:paraId="360F0114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78A9264B" w14:textId="77777777" w:rsidR="00F40A85" w:rsidRDefault="00F40A85">
      <w:pPr>
        <w:ind w:firstLine="397"/>
        <w:jc w:val="right"/>
        <w:divId w:val="812215753"/>
      </w:pPr>
      <w:bookmarkStart w:id="1" w:name="SUB2"/>
      <w:bookmarkEnd w:id="1"/>
      <w:r>
        <w:rPr>
          <w:rStyle w:val="s0"/>
        </w:rPr>
        <w:t>Приложение 2</w:t>
      </w:r>
    </w:p>
    <w:p w14:paraId="0C2EF6C6" w14:textId="77777777" w:rsidR="00F40A85" w:rsidRDefault="00F40A85">
      <w:pPr>
        <w:ind w:firstLine="397"/>
        <w:jc w:val="right"/>
        <w:divId w:val="812215753"/>
      </w:pPr>
      <w:r>
        <w:rPr>
          <w:rStyle w:val="s0"/>
        </w:rPr>
        <w:t xml:space="preserve">к </w:t>
      </w:r>
      <w:hyperlink w:anchor="sub0" w:history="1">
        <w:r>
          <w:rPr>
            <w:rStyle w:val="a3"/>
          </w:rPr>
          <w:t>приказу</w:t>
        </w:r>
      </w:hyperlink>
    </w:p>
    <w:p w14:paraId="00BDB039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081E2738" w14:textId="77777777" w:rsidR="00F40A85" w:rsidRDefault="00F40A85">
      <w:pPr>
        <w:ind w:firstLine="397"/>
        <w:jc w:val="both"/>
        <w:divId w:val="812215753"/>
      </w:pPr>
      <w:r>
        <w:t> </w:t>
      </w:r>
    </w:p>
    <w:p w14:paraId="07D33EC7" w14:textId="77777777" w:rsidR="00F40A85" w:rsidRDefault="00F40A85">
      <w:pPr>
        <w:jc w:val="center"/>
        <w:divId w:val="812215753"/>
      </w:pPr>
      <w:r>
        <w:rPr>
          <w:rStyle w:val="s1"/>
        </w:rPr>
        <w:t>Положения о деятельности референс-лабораторий</w:t>
      </w:r>
    </w:p>
    <w:p w14:paraId="4E1C1672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2695F3D0" w14:textId="77777777" w:rsidR="00F40A85" w:rsidRDefault="00F40A85">
      <w:pPr>
        <w:ind w:firstLine="397"/>
        <w:jc w:val="both"/>
        <w:divId w:val="812215753"/>
      </w:pPr>
      <w:r>
        <w:t> </w:t>
      </w:r>
    </w:p>
    <w:p w14:paraId="61B72D01" w14:textId="77777777" w:rsidR="00F40A85" w:rsidRDefault="00F40A85">
      <w:pPr>
        <w:jc w:val="center"/>
        <w:divId w:val="812215753"/>
      </w:pPr>
      <w:r>
        <w:rPr>
          <w:rStyle w:val="s1"/>
        </w:rPr>
        <w:t>Глава 1. Общие положения</w:t>
      </w:r>
    </w:p>
    <w:p w14:paraId="4B467347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68C1448E" w14:textId="77777777" w:rsidR="00F40A85" w:rsidRDefault="00F40A85">
      <w:pPr>
        <w:ind w:firstLine="397"/>
        <w:jc w:val="both"/>
        <w:divId w:val="812215753"/>
      </w:pPr>
      <w:bookmarkStart w:id="2" w:name="SUB100"/>
      <w:bookmarkEnd w:id="2"/>
      <w:r>
        <w:rPr>
          <w:rStyle w:val="s0"/>
        </w:rPr>
        <w:t xml:space="preserve">1. Настоящие положения о деятельности референс-лабораторий, разработаны в соответствии с </w:t>
      </w:r>
      <w:hyperlink r:id="rId8" w:history="1">
        <w:r>
          <w:rPr>
            <w:rStyle w:val="a3"/>
          </w:rPr>
          <w:t>пунктом 4 статьи 130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здравоохранения» (далее - Кодекс) и определяют положения о деятельности референс-лабораторий.</w:t>
      </w:r>
    </w:p>
    <w:p w14:paraId="596FECA7" w14:textId="77777777" w:rsidR="00F40A85" w:rsidRDefault="00F40A85">
      <w:pPr>
        <w:ind w:firstLine="397"/>
        <w:jc w:val="both"/>
        <w:divId w:val="812215753"/>
      </w:pPr>
      <w:bookmarkStart w:id="3" w:name="SUB200"/>
      <w:bookmarkEnd w:id="3"/>
      <w:r>
        <w:rPr>
          <w:rStyle w:val="s0"/>
        </w:rPr>
        <w:t>2. Референс-лаборатории создаются в организациях здравоохранения, независимо от форм собственности, с целью повышения качества лабораторной диагностики в Республике Казахстан путем реализации комплекса мероприятий, направленных на совершенствование системы оценки качества лабораторных исследований и достижения аналитической достоверности, надежности и информативности лабораторных исследований, а также для проведения исследований в диагностически сложных и экспертных случаях в определенной области лабораторной диагностики.</w:t>
      </w:r>
    </w:p>
    <w:p w14:paraId="35D6A02E" w14:textId="77777777" w:rsidR="00F40A85" w:rsidRDefault="00F40A85">
      <w:pPr>
        <w:ind w:firstLine="397"/>
        <w:jc w:val="both"/>
        <w:divId w:val="812215753"/>
      </w:pPr>
      <w:bookmarkStart w:id="4" w:name="SUB300"/>
      <w:bookmarkEnd w:id="4"/>
      <w:r>
        <w:rPr>
          <w:rStyle w:val="s0"/>
        </w:rPr>
        <w:t>3. В настоящем Положении используются следующие понятия:</w:t>
      </w:r>
    </w:p>
    <w:p w14:paraId="05CBD291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1) валидация - подтверждение, посредством предоставления объективных свидетельств того, что требования, предназначенные для конкретного предполагаемого использования или применения, выполнены;</w:t>
      </w:r>
    </w:p>
    <w:p w14:paraId="7759AD95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lastRenderedPageBreak/>
        <w:t>2) референс-лаборатория (далее - РЛ) - лаборатория организации здравоохранения, осуществляющая организационно-методическую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диагностики.</w:t>
      </w:r>
    </w:p>
    <w:p w14:paraId="46653413" w14:textId="77777777" w:rsidR="00F40A85" w:rsidRDefault="00F40A85">
      <w:pPr>
        <w:ind w:firstLine="397"/>
        <w:jc w:val="both"/>
        <w:divId w:val="812215753"/>
      </w:pPr>
      <w:bookmarkStart w:id="5" w:name="SUB400"/>
      <w:bookmarkEnd w:id="5"/>
      <w:r>
        <w:rPr>
          <w:rStyle w:val="s0"/>
        </w:rPr>
        <w:t>4. Координация деятельности РЛ осуществляется уполномоченным органом в области здравоохранения.</w:t>
      </w:r>
    </w:p>
    <w:p w14:paraId="338B9BFD" w14:textId="77777777" w:rsidR="00F40A85" w:rsidRDefault="00F40A85">
      <w:pPr>
        <w:ind w:firstLine="397"/>
        <w:jc w:val="both"/>
        <w:divId w:val="812215753"/>
      </w:pPr>
      <w:bookmarkStart w:id="6" w:name="SUB500"/>
      <w:bookmarkEnd w:id="6"/>
      <w:r>
        <w:rPr>
          <w:rStyle w:val="s0"/>
        </w:rPr>
        <w:t xml:space="preserve">5. РЛ в своей деятельности руководствуются </w:t>
      </w:r>
      <w:hyperlink r:id="rId9" w:history="1">
        <w:r>
          <w:rPr>
            <w:rStyle w:val="a3"/>
          </w:rPr>
          <w:t>Конституцией</w:t>
        </w:r>
      </w:hyperlink>
      <w:r>
        <w:rPr>
          <w:rStyle w:val="s0"/>
        </w:rPr>
        <w:t xml:space="preserve"> Республики Казахстан, </w:t>
      </w:r>
      <w:hyperlink r:id="rId10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здравоохранения», настоящим положением, приказами Министерства здравоохранения Республики Казахстан, рекомендациями Всемирной организации здравоохранения и требованиями международных и национальных стандартов Республики Казахстан.</w:t>
      </w:r>
    </w:p>
    <w:p w14:paraId="0DEBFFA5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31BB2267" w14:textId="77777777" w:rsidR="00F40A85" w:rsidRDefault="00F40A85">
      <w:pPr>
        <w:ind w:firstLine="397"/>
        <w:jc w:val="both"/>
        <w:divId w:val="812215753"/>
      </w:pPr>
      <w:r>
        <w:t> </w:t>
      </w:r>
    </w:p>
    <w:p w14:paraId="73238B80" w14:textId="77777777" w:rsidR="00F40A85" w:rsidRDefault="00F40A85">
      <w:pPr>
        <w:jc w:val="center"/>
        <w:divId w:val="812215753"/>
      </w:pPr>
      <w:bookmarkStart w:id="7" w:name="SUB600"/>
      <w:bookmarkEnd w:id="7"/>
      <w:r>
        <w:rPr>
          <w:rStyle w:val="s1"/>
        </w:rPr>
        <w:t>Глава 2. Задачи референс-лабораторий</w:t>
      </w:r>
    </w:p>
    <w:p w14:paraId="35ABB5A5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1764566F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6. Задачами РЛ является:</w:t>
      </w:r>
    </w:p>
    <w:p w14:paraId="7F548B7B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1) научное и организационно-методическое обеспечение деятельности по осуществлению эффективной лабораторной диагностики в отдельных областях профессиональной деятельности с использованием последних достижений медицинской науки и практики;</w:t>
      </w:r>
    </w:p>
    <w:p w14:paraId="6977DF7F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2) координация деятельности и консультирование организаций здравоохранения, участвующих в программах внешнего контроля качества лабораторных исследований;</w:t>
      </w:r>
    </w:p>
    <w:p w14:paraId="36C6080B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3) осуществление экспертных лабораторных исследований при возникновении спорных и сложных случаев лабораторной диагностики (арбитражные исследования) и оказание консультативно - методической помощи при проведении специальных исследований;</w:t>
      </w:r>
    </w:p>
    <w:p w14:paraId="662F5FF7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4) стандартизация лабораторных исследований, унификация приемов обработки и анализа информации;</w:t>
      </w:r>
    </w:p>
    <w:p w14:paraId="42817BFE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5) внедрение стандартных лабораторных методов исследований;</w:t>
      </w:r>
    </w:p>
    <w:p w14:paraId="7C7EA360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6) участие в исследовании новых или уже существующих методик и (или) измерений в отношении их валидности;</w:t>
      </w:r>
    </w:p>
    <w:p w14:paraId="214E8D7E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7) развитие системы внешней оценки качества в области лабораторных исследований;</w:t>
      </w:r>
    </w:p>
    <w:p w14:paraId="5D96D8BD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8) анализ состояния лабораторной диагностики и мониторинга отдельных мезюрандов (величин) для выработки внутристрановых референсных лабораторных показателей для оценки функционирования органов и систем человека;</w:t>
      </w:r>
    </w:p>
    <w:p w14:paraId="7F05ACD0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9) интеграция с международными организациями, занимающимися оценкой и совершенствованием систем управления качеством лабораторных исследований;</w:t>
      </w:r>
    </w:p>
    <w:p w14:paraId="17C3A5D2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10) организация образовательной деятельности по подготовке специалистов лаборатории.</w:t>
      </w:r>
    </w:p>
    <w:p w14:paraId="47BD1F50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3D67187A" w14:textId="77777777" w:rsidR="00F40A85" w:rsidRDefault="00F40A85">
      <w:pPr>
        <w:ind w:firstLine="397"/>
        <w:jc w:val="both"/>
        <w:divId w:val="812215753"/>
      </w:pPr>
      <w:r>
        <w:t> </w:t>
      </w:r>
    </w:p>
    <w:p w14:paraId="3722E70C" w14:textId="77777777" w:rsidR="00F40A85" w:rsidRDefault="00F40A85">
      <w:pPr>
        <w:jc w:val="center"/>
        <w:divId w:val="812215753"/>
      </w:pPr>
      <w:bookmarkStart w:id="8" w:name="SUB700"/>
      <w:bookmarkEnd w:id="8"/>
      <w:r>
        <w:rPr>
          <w:rStyle w:val="s1"/>
        </w:rPr>
        <w:t>Глава 3. Функции референс-лабораторий</w:t>
      </w:r>
    </w:p>
    <w:p w14:paraId="51069252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04284143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7. Функциями РЛ является:</w:t>
      </w:r>
    </w:p>
    <w:p w14:paraId="175C6948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1) подготовка проектов организационных, методических руководств и указаний, информационных писем и аналитических справок по вопросам измерений референсных величин;</w:t>
      </w:r>
    </w:p>
    <w:p w14:paraId="4F3F9CA3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2) участие в разработке нормативных и методических документов, регламентирующих деятельность лабораторий по проведению лабораторной диагностики и организации внешней оценки качества лабораторных исследований;</w:t>
      </w:r>
    </w:p>
    <w:p w14:paraId="5668FCDE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lastRenderedPageBreak/>
        <w:t>3) внедрение методик референсных измерений по видам направлений исследований (вирус иммунодефицита человека, туберкулез, вирусные гепатиты, общеклинические и другим) там, где это применимо;</w:t>
      </w:r>
    </w:p>
    <w:p w14:paraId="14B9C0D2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4) получение лабораторных исследований, прослеживаемых до национальных или международных первичных стандартных образцов, при их наличии и (или) доступности;</w:t>
      </w:r>
    </w:p>
    <w:p w14:paraId="3526E88B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5) установление прослеживаемости по стандартным образцам, свойства которых выражаются в единицах Международной системы единиц СИ, до наивысшего возможного уровня методик референсных измерений или стандартных образцов там, где это применимо;</w:t>
      </w:r>
    </w:p>
    <w:p w14:paraId="30B3F570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6) установление значений по референсным материалам, в том числе с установлением неопределенности, используемой для калибровки;</w:t>
      </w:r>
    </w:p>
    <w:p w14:paraId="02DB9478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7) оказание консультативно-методической и организационной помощи лабораториям в совершенствовании их деятельности путем стандартизации технологических процессов, проведения оценок контрольных образцов, представляемых производителями, оценки правильности проведения внутри лабораторного контроля качества и достоверности проводимых лабораторных исследований;</w:t>
      </w:r>
    </w:p>
    <w:p w14:paraId="3CDB7DB6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8) проведение программ внешней оценки качества лабораторных исследований в области компетенции РЛ;</w:t>
      </w:r>
    </w:p>
    <w:p w14:paraId="4B7278D9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9) изучение, разработка и внедрение современных методов и стандартов лабораторных исследований, диагностических алгоритмов, использование результатов внешней оценки качества для выбраковки методов, оборудования, технологий;</w:t>
      </w:r>
    </w:p>
    <w:p w14:paraId="0193037D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10) проведение валидации и оценки сопоставимости различных аналитических методов, применяемых для лабораторной диагностики различных анализов, заболеваний в области компетенции РЛ;</w:t>
      </w:r>
    </w:p>
    <w:p w14:paraId="7FF9800A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11) участие в подготовке и проведении научно-практических конференций, семинаров, тренингов и других мероприятий по совершенствованию лабораторной диагностики;</w:t>
      </w:r>
    </w:p>
    <w:p w14:paraId="21B1F13A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12) участие в международных программах внешней оценки качества лабораторных исследований, международных проектах и научных программах в области здравоохранения;</w:t>
      </w:r>
    </w:p>
    <w:p w14:paraId="42800B2C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13) проведение оценки безопасности, качества и эффективности поступивших в страну диагностических тест-систем, после распределения среди пользователей (пострегистрационные исследования).</w:t>
      </w:r>
    </w:p>
    <w:p w14:paraId="45396D4D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47230667" w14:textId="77777777" w:rsidR="00F40A85" w:rsidRDefault="00F40A85">
      <w:pPr>
        <w:ind w:firstLine="397"/>
        <w:jc w:val="right"/>
        <w:divId w:val="812215753"/>
      </w:pPr>
      <w:bookmarkStart w:id="9" w:name="SUB3"/>
      <w:bookmarkEnd w:id="9"/>
      <w:r>
        <w:rPr>
          <w:rStyle w:val="s0"/>
        </w:rPr>
        <w:t>Приложение 3</w:t>
      </w:r>
    </w:p>
    <w:p w14:paraId="25B978AF" w14:textId="77777777" w:rsidR="00F40A85" w:rsidRDefault="00F40A85">
      <w:pPr>
        <w:ind w:firstLine="397"/>
        <w:jc w:val="right"/>
        <w:divId w:val="812215753"/>
      </w:pPr>
      <w:r>
        <w:rPr>
          <w:rStyle w:val="s0"/>
        </w:rPr>
        <w:t xml:space="preserve">к </w:t>
      </w:r>
      <w:hyperlink w:anchor="sub0" w:history="1">
        <w:r>
          <w:rPr>
            <w:rStyle w:val="a3"/>
          </w:rPr>
          <w:t>приказу</w:t>
        </w:r>
      </w:hyperlink>
    </w:p>
    <w:p w14:paraId="57578E31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54F6C59E" w14:textId="77777777" w:rsidR="00F40A85" w:rsidRDefault="00F40A85">
      <w:pPr>
        <w:ind w:firstLine="397"/>
        <w:jc w:val="both"/>
        <w:divId w:val="812215753"/>
      </w:pPr>
      <w:r>
        <w:t> </w:t>
      </w:r>
    </w:p>
    <w:p w14:paraId="1A0813BF" w14:textId="77777777" w:rsidR="00F40A85" w:rsidRDefault="00F40A85">
      <w:pPr>
        <w:jc w:val="center"/>
        <w:divId w:val="812215753"/>
      </w:pPr>
      <w:r>
        <w:rPr>
          <w:rStyle w:val="s1"/>
        </w:rPr>
        <w:t>Критерии и требования к выбору референс-лабораторий</w:t>
      </w:r>
    </w:p>
    <w:p w14:paraId="42EA3597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 </w:t>
      </w:r>
    </w:p>
    <w:p w14:paraId="2E16CC54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Критериями и требованиями для выбора референс-лабораторий являются:</w:t>
      </w:r>
    </w:p>
    <w:p w14:paraId="3BA990A0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1) наличие аттестата аккредитации на соответствие национальным и (или) международным стандартам, подтверждающие качество деятельности и профессиональные компетенции;</w:t>
      </w:r>
    </w:p>
    <w:p w14:paraId="731E295B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2) наличие внедренной и действующей системы менеджмента качества, подтвержденную аттестатом или сертификатом аккредитации на соответствие национальным и (или) международным стандартам;</w:t>
      </w:r>
    </w:p>
    <w:p w14:paraId="67258317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3) наличие современного материально технического оснащения с развитой информационной инфраструктурой и поверенным валидированным медицинским лабораторным оборудованием;</w:t>
      </w:r>
    </w:p>
    <w:p w14:paraId="2522ED16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4) наличие опыта по разработке и реализации образовательных программ по обучению персонала лаборатории, проводимых на постоянной основе;</w:t>
      </w:r>
    </w:p>
    <w:p w14:paraId="47EE35C4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lastRenderedPageBreak/>
        <w:t>5) наличие сертификата аккредитации образовательной деятельности по профилю референс-лаборатории;</w:t>
      </w:r>
    </w:p>
    <w:p w14:paraId="189172B4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6) наличие действующего сайта в информационно-телекоммуникационной сети «Интернет» с информацией о деятельности;</w:t>
      </w:r>
    </w:p>
    <w:p w14:paraId="1EEA1658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7) наличие государственной лицензии на лабораторную деятельность;</w:t>
      </w:r>
    </w:p>
    <w:p w14:paraId="1567F53A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8) ежегодное участие в программах международной внешней оценки качества;</w:t>
      </w:r>
    </w:p>
    <w:p w14:paraId="503781F1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9) применение верифицированных методов лабораторных исследований, материалов;</w:t>
      </w:r>
    </w:p>
    <w:p w14:paraId="7C80EC83" w14:textId="77777777" w:rsidR="00F40A85" w:rsidRDefault="00F40A85">
      <w:pPr>
        <w:ind w:firstLine="397"/>
        <w:jc w:val="both"/>
        <w:divId w:val="812215753"/>
      </w:pPr>
      <w:r>
        <w:rPr>
          <w:rStyle w:val="s0"/>
        </w:rPr>
        <w:t>10) непрерывный закуп контролей для оценки качества.</w:t>
      </w:r>
    </w:p>
    <w:sectPr w:rsidR="00F4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CE"/>
    <w:rsid w:val="009902CE"/>
    <w:rsid w:val="00B667FF"/>
    <w:rsid w:val="00F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F6542F"/>
  <w15:chartTrackingRefBased/>
  <w15:docId w15:val="{15504520-062F-47BD-ACDA-9E1301C8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Pr>
      <w:color w:val="333399"/>
      <w:u w:val="single"/>
    </w:rPr>
  </w:style>
  <w:style w:type="paragraph" w:styleId="a4">
    <w:name w:val="Обычный (веб)"/>
    <w:basedOn w:val="a"/>
    <w:uiPriority w:val="99"/>
    <w:semiHidden/>
    <w:unhideWhenUsed/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78716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/online.zakon.kz/Document/?link_id=10078716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78716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/online.zakon.kz/Document/?link_id=1007871615" TargetMode="External"/><Relationship Id="rId10" Type="http://schemas.openxmlformats.org/officeDocument/2006/relationships/hyperlink" Target="http:///online.zakon.kz/Document/?link_id=1007654609" TargetMode="External"/><Relationship Id="rId4" Type="http://schemas.openxmlformats.org/officeDocument/2006/relationships/hyperlink" Target="http:///online.zakon.kz" TargetMode="External"/><Relationship Id="rId9" Type="http://schemas.openxmlformats.org/officeDocument/2006/relationships/hyperlink" Target="http:///online.zakon.kz/Document/?link_id=1000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здравоохранения Республики Казахстан от 3 декабря 2020 года № ҚР ДСМ-232/2020 «Об утверждении перечня референс-лабораторий, положения об их деятельности, а также критерии и требования к их выбору» (©Paragraph 2021 / 5.0.6.36)</vt:lpstr>
    </vt:vector>
  </TitlesOfParts>
  <Company/>
  <LinksUpToDate>false</LinksUpToDate>
  <CharactersWithSpaces>11724</CharactersWithSpaces>
  <SharedDoc>false</SharedDoc>
  <HLinks>
    <vt:vector size="78" baseType="variant">
      <vt:variant>
        <vt:i4>4522001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sub0</vt:lpwstr>
      </vt:variant>
      <vt:variant>
        <vt:i4>131121</vt:i4>
      </vt:variant>
      <vt:variant>
        <vt:i4>33</vt:i4>
      </vt:variant>
      <vt:variant>
        <vt:i4>0</vt:i4>
      </vt:variant>
      <vt:variant>
        <vt:i4>5</vt:i4>
      </vt:variant>
      <vt:variant>
        <vt:lpwstr>http:///online.zakon.kz/Document/?link_id=1007654609</vt:lpwstr>
      </vt:variant>
      <vt:variant>
        <vt:lpwstr/>
      </vt:variant>
      <vt:variant>
        <vt:i4>852018</vt:i4>
      </vt:variant>
      <vt:variant>
        <vt:i4>30</vt:i4>
      </vt:variant>
      <vt:variant>
        <vt:i4>0</vt:i4>
      </vt:variant>
      <vt:variant>
        <vt:i4>5</vt:i4>
      </vt:variant>
      <vt:variant>
        <vt:lpwstr>http:///online.zakon.kz/Document/?link_id=1000000012</vt:lpwstr>
      </vt:variant>
      <vt:variant>
        <vt:lpwstr/>
      </vt:variant>
      <vt:variant>
        <vt:i4>786491</vt:i4>
      </vt:variant>
      <vt:variant>
        <vt:i4>27</vt:i4>
      </vt:variant>
      <vt:variant>
        <vt:i4>0</vt:i4>
      </vt:variant>
      <vt:variant>
        <vt:i4>5</vt:i4>
      </vt:variant>
      <vt:variant>
        <vt:lpwstr>http:///online.zakon.kz/Document/?link_id=1007871615</vt:lpwstr>
      </vt:variant>
      <vt:variant>
        <vt:lpwstr/>
      </vt:variant>
      <vt:variant>
        <vt:i4>4522001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sub0</vt:lpwstr>
      </vt:variant>
      <vt:variant>
        <vt:i4>4522001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sub0</vt:lpwstr>
      </vt:variant>
      <vt:variant>
        <vt:i4>589880</vt:i4>
      </vt:variant>
      <vt:variant>
        <vt:i4>18</vt:i4>
      </vt:variant>
      <vt:variant>
        <vt:i4>0</vt:i4>
      </vt:variant>
      <vt:variant>
        <vt:i4>5</vt:i4>
      </vt:variant>
      <vt:variant>
        <vt:lpwstr>http:///online.zakon.kz/Document/?link_id=1007871620</vt:lpwstr>
      </vt:variant>
      <vt:variant>
        <vt:lpwstr/>
      </vt:variant>
      <vt:variant>
        <vt:i4>589880</vt:i4>
      </vt:variant>
      <vt:variant>
        <vt:i4>15</vt:i4>
      </vt:variant>
      <vt:variant>
        <vt:i4>0</vt:i4>
      </vt:variant>
      <vt:variant>
        <vt:i4>5</vt:i4>
      </vt:variant>
      <vt:variant>
        <vt:lpwstr>http:///online.zakon.kz/Document/?link_id=1007871620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sub3</vt:lpwstr>
      </vt:variant>
      <vt:variant>
        <vt:i4>7602209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sub100</vt:lpwstr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sub1</vt:lpwstr>
      </vt:variant>
      <vt:variant>
        <vt:i4>786491</vt:i4>
      </vt:variant>
      <vt:variant>
        <vt:i4>3</vt:i4>
      </vt:variant>
      <vt:variant>
        <vt:i4>0</vt:i4>
      </vt:variant>
      <vt:variant>
        <vt:i4>5</vt:i4>
      </vt:variant>
      <vt:variant>
        <vt:lpwstr>http:///online.zakon.kz/Document/?link_id=1007871615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http:///online.zakon.kz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3 декабря 2020 года № ҚР ДСМ-232/2020 «Об утверждении перечня референс-лабораторий, положения об их деятельности, а также критерии и требования к их выбору» (©Paragraph 2021 / 5.0.6.36)</dc:title>
  <dc:subject/>
  <dc:creator>SA_ONBASE2</dc:creator>
  <cp:keywords/>
  <dc:description/>
  <cp:lastModifiedBy>Goszakup-2</cp:lastModifiedBy>
  <cp:revision>2</cp:revision>
  <dcterms:created xsi:type="dcterms:W3CDTF">2021-08-24T04:49:00Z</dcterms:created>
  <dcterms:modified xsi:type="dcterms:W3CDTF">2021-08-24T04:49:00Z</dcterms:modified>
</cp:coreProperties>
</file>